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Red Horse Inn</w:t>
      </w:r>
    </w:p>
    <w:p>
      <w:pPr>
        <w:pStyle w:val="SectionHeader"/>
      </w:pPr>
      <w:r>
        <w:t xml:space="preserve">Craft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RJ Rockers "Son of a Peach"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Fruit/Vegetable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RJ Rockers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Holy City "Pluff Mud Porter"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Porter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Holy City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Cigar City "Maduro Brown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English Brown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Cigar City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Founders "All Day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Founders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Highland "Gaelic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Highland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Blake's Triple Jam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Blake's Hard Cider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Twisted Tea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 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Twisted Tea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SweetWater "H.A.Z.Y.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SweetWater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</w:tbl>
    <w:p>
      <w:pPr>
        <w:pStyle w:val="SectionHeader"/>
      </w:pPr>
      <w:r>
        <w:t xml:space="preserve">Domestic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Can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